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OAHeading"/>
        <w:spacing w:before="240" w:after="120"/>
        <w:rPr>
          <w:sz w:val="22"/>
          <w:szCs w:val="22"/>
          <w:shd w:fill="auto" w:val="clear"/>
        </w:rPr>
      </w:pPr>
      <w:r>
        <w:rPr>
          <w:sz w:val="22"/>
          <w:szCs w:val="22"/>
          <w:shd w:fill="auto" w:val="clear"/>
        </w:rPr>
        <w:t>SPIS TREŚCI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left" w:pos="440" w:leader="none"/>
              <w:tab w:val="right" w:pos="9355" w:leader="dot"/>
            </w:tabs>
            <w:rPr/>
          </w:pPr>
          <w:r>
            <w:fldChar w:fldCharType="begin"/>
          </w:r>
          <w:r>
            <w:rPr>
              <w:rStyle w:val="Czeindeksu"/>
            </w:rPr>
            <w:instrText xml:space="preserve"> TOC \f \o "1-9" \h</w:instrText>
          </w:r>
          <w:r>
            <w:rPr>
              <w:rStyle w:val="Czeindeksu"/>
            </w:rPr>
            <w:fldChar w:fldCharType="separate"/>
          </w:r>
          <w:hyperlink w:anchor="__RefHeading___Toc150_956099852">
            <w:r>
              <w:rPr>
                <w:rStyle w:val="Czeindeksu"/>
              </w:rPr>
              <w:t>I.</w:t>
              <w:tab/>
              <w:t>OPIS TECHNICZNY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6_848453239">
            <w:r>
              <w:rPr>
                <w:rStyle w:val="Czeindeksu"/>
              </w:rPr>
              <w:t>1.</w:t>
              <w:tab/>
              <w:t>ZAKRES OPRACOWANIA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8_848453239">
            <w:r>
              <w:rPr>
                <w:rStyle w:val="Czeindeksu"/>
              </w:rPr>
              <w:t>2.</w:t>
              <w:tab/>
              <w:t>MATERIAŁY WYJŚCIOWE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548_826956218">
            <w:r>
              <w:rPr>
                <w:rStyle w:val="Czeindeksu"/>
              </w:rPr>
              <w:t>3.</w:t>
              <w:tab/>
              <w:t>STAN ISTNIEJĄCY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4_848453239">
            <w:r>
              <w:rPr>
                <w:rStyle w:val="Czeindeksu"/>
              </w:rPr>
              <w:t>4.</w:t>
              <w:tab/>
            </w:r>
            <w:r>
              <w:rPr>
                <w:rStyle w:val="Czeindeksu"/>
                <w:i w:val="false"/>
                <w:iCs w:val="false"/>
              </w:rPr>
              <w:t>ZEWNĘTRZNA INSTALACJA WODY</w:t>
            </w:r>
            <w:r>
              <w:rPr>
                <w:rStyle w:val="Czeindeksu"/>
              </w:rPr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6_848453239">
            <w:r>
              <w:rPr>
                <w:rStyle w:val="Czeindeksu"/>
              </w:rPr>
              <w:t>5.</w:t>
              <w:tab/>
            </w:r>
            <w:r>
              <w:rPr>
                <w:rStyle w:val="Czeindeksu"/>
                <w:i w:val="false"/>
                <w:iCs w:val="false"/>
              </w:rPr>
              <w:t>ZEWNĘTRZNA INSTALACJA KANALIZACJI SANITARNEJ</w:t>
            </w:r>
            <w:r>
              <w:rPr>
                <w:rStyle w:val="Czeindeksu"/>
              </w:rPr>
              <w:tab/>
              <w:t>4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610_1833919552">
            <w:r>
              <w:rPr>
                <w:rStyle w:val="Czeindeksu"/>
              </w:rPr>
              <w:t>6.</w:t>
              <w:tab/>
            </w:r>
            <w:r>
              <w:rPr>
                <w:rStyle w:val="Czeindeksu"/>
                <w:i w:val="false"/>
                <w:iCs w:val="false"/>
              </w:rPr>
              <w:t>ZEWNĘTRZNA INSTALACJA KANALIZACJI DESZCZOWEJ</w:t>
            </w:r>
            <w:r>
              <w:rPr>
                <w:rStyle w:val="Czeindeksu"/>
              </w:rPr>
              <w:tab/>
              <w:t>4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4_848453239">
            <w:r>
              <w:rPr>
                <w:rStyle w:val="Czeindeksu"/>
              </w:rPr>
              <w:t>7.</w:t>
              <w:tab/>
            </w:r>
            <w:r>
              <w:rPr>
                <w:rStyle w:val="Czeindeksu"/>
                <w:i w:val="false"/>
                <w:iCs w:val="false"/>
              </w:rPr>
              <w:t>WYKOPY I SZALOWANIE</w:t>
            </w:r>
            <w:r>
              <w:rPr>
                <w:rStyle w:val="Czeindeksu"/>
              </w:rPr>
              <w:tab/>
              <w:t>5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6_848453239">
            <w:r>
              <w:rPr>
                <w:rStyle w:val="Czeindeksu"/>
              </w:rPr>
              <w:t>8.</w:t>
              <w:tab/>
            </w:r>
            <w:r>
              <w:rPr>
                <w:rStyle w:val="Czeindeksu"/>
                <w:i w:val="false"/>
                <w:iCs w:val="false"/>
              </w:rPr>
              <w:t>UWAGI</w:t>
            </w:r>
            <w:r>
              <w:rPr>
                <w:rStyle w:val="Czeindeksu"/>
              </w:rPr>
              <w:tab/>
              <w:t>6</w:t>
            </w:r>
          </w:hyperlink>
          <w:r>
            <w:rPr>
              <w:rStyle w:val="Czeindeksu"/>
            </w:rPr>
            <w:fldChar w:fldCharType="end"/>
          </w:r>
        </w:p>
      </w:sdtContent>
    </w:sdt>
    <w:p>
      <w:pPr>
        <w:pStyle w:val="Normal"/>
        <w:numPr>
          <w:ilvl w:val="0"/>
          <w:numId w:val="0"/>
        </w:numPr>
        <w:ind w:hanging="0" w:left="0"/>
        <w:rPr>
          <w:shd w:fill="auto" w:val="clear"/>
        </w:rPr>
      </w:pPr>
      <w:r>
        <w:rPr>
          <w:shd w:fill="auto" w:val="clear"/>
        </w:rPr>
      </w:r>
    </w:p>
    <w:p>
      <w:pPr>
        <w:sectPr>
          <w:type w:val="nextPage"/>
          <w:pgSz w:w="11906" w:h="16838"/>
          <w:pgMar w:left="1417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b/>
          <w:bCs/>
        </w:rPr>
      </w:pPr>
      <w:r>
        <w:rPr>
          <w:b/>
          <w:bCs/>
        </w:rPr>
        <w:t>CZĘŚĆ RYSUNKOWA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</w:rPr>
      </w:pPr>
      <w:r>
        <w:rPr>
          <w:rFonts w:cs="Arial"/>
          <w:sz w:val="22"/>
          <w:szCs w:val="22"/>
          <w:shd w:fill="auto" w:val="clear"/>
        </w:rPr>
      </w:r>
    </w:p>
    <w:tbl>
      <w:tblPr>
        <w:tblW w:w="935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6519"/>
        <w:gridCol w:w="2102"/>
      </w:tblGrid>
      <w:tr>
        <w:trPr>
          <w:trHeight w:val="283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IZ1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Projekt zagospodarowania terenu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  <w:shd w:fill="auto" w:val="clear"/>
              </w:rPr>
              <w:t>skala 1:500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IZ2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Zbiornik wody p.poż.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IZ3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Zbiornik bezodpływowy na ścieki sanitarne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IZ4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Profile zewnętrznej instalacji wody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IZ5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 zewnętrznej instalacji kanalizacji sanitarnej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IZ6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Profile zewnętrznej instalacji kanalizacji deszczowej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IZ7</w:t>
            </w:r>
          </w:p>
        </w:tc>
        <w:tc>
          <w:tcPr>
            <w:tcW w:w="65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Studnia wodomierzowa</w:t>
            </w:r>
          </w:p>
        </w:tc>
        <w:tc>
          <w:tcPr>
            <w:tcW w:w="2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1:25</w:t>
            </w:r>
          </w:p>
        </w:tc>
      </w:tr>
    </w:tbl>
    <w:p>
      <w:pPr>
        <w:pStyle w:val="Normal"/>
        <w:spacing w:lineRule="atLeast" w:line="100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sectPr>
          <w:type w:val="continuous"/>
          <w:pgSz w:w="11906" w:h="16838"/>
          <w:pgMar w:left="1417" w:right="1134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Heading1"/>
        <w:spacing w:before="240" w:after="60"/>
        <w:rPr>
          <w:shd w:fill="auto" w:val="clear"/>
        </w:rPr>
      </w:pPr>
      <w:bookmarkStart w:id="0" w:name="__RefHeading___Toc150_956099852"/>
      <w:bookmarkEnd w:id="0"/>
      <w:r>
        <w:rPr>
          <w:shd w:fill="auto" w:val="clear"/>
        </w:rPr>
        <w:t>OPIS TECHNICZNY</w:t>
      </w:r>
    </w:p>
    <w:p>
      <w:pPr>
        <w:pStyle w:val="Heading2"/>
        <w:rPr>
          <w:shd w:fill="auto" w:val="clear"/>
        </w:rPr>
      </w:pPr>
      <w:bookmarkStart w:id="1" w:name="__RefHeading___Toc26_848453239"/>
      <w:bookmarkEnd w:id="1"/>
      <w:r>
        <w:rPr>
          <w:shd w:fill="auto" w:val="clear"/>
        </w:rPr>
        <w:t>ZAKRES OPRACOWANIA</w:t>
      </w:r>
    </w:p>
    <w:p>
      <w:pPr>
        <w:pStyle w:val="Normal"/>
        <w:jc w:val="both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Opracowanie zawiera część graficzną i opisową projektu zewnętrznych instalacji wody, kanalizacji sanitarnej i kanalizacji deszczowej dla inwestycji: Rozbiórka istniejącego oraz budowa nowego budynku stacji paliw wraz z obiektami i infrastrukturą na terenie stacji paliw nr 427 Orlen, zlokalizowanej przy ul. Mickiewicza 1, w Alwerni, na działce nr 1585, obręb ew. 0001 Alwernia, jednostka ew. 120301_4</w:t>
      </w:r>
    </w:p>
    <w:p>
      <w:pPr>
        <w:pStyle w:val="Heading2"/>
        <w:rPr>
          <w:shd w:fill="auto" w:val="clear"/>
        </w:rPr>
      </w:pPr>
      <w:bookmarkStart w:id="2" w:name="__RefHeading___Toc28_848453239"/>
      <w:bookmarkEnd w:id="2"/>
      <w:r>
        <w:rPr>
          <w:shd w:fill="auto" w:val="clear"/>
        </w:rPr>
        <w:t>MATERIAŁY WYJŚCIOWE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Mapa do celów projektowych, </w:t>
      </w:r>
    </w:p>
    <w:p>
      <w:pPr>
        <w:pStyle w:val="Normal"/>
        <w:numPr>
          <w:ilvl w:val="0"/>
          <w:numId w:val="3"/>
        </w:numPr>
        <w:rPr>
          <w:rFonts w:cs="Times New Roman"/>
          <w:sz w:val="22"/>
          <w:szCs w:val="22"/>
          <w:shd w:fill="auto" w:val="clear"/>
          <w:lang w:eastAsia="zxx"/>
        </w:rPr>
      </w:pPr>
      <w:r>
        <w:rPr>
          <w:rFonts w:cs="Times New Roman"/>
          <w:sz w:val="22"/>
          <w:szCs w:val="22"/>
          <w:shd w:fill="auto" w:val="clear"/>
          <w:lang w:eastAsia="zxx"/>
        </w:rPr>
        <w:t>Projekt architektoniczny,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 w:val="22"/>
          <w:szCs w:val="22"/>
          <w:shd w:fill="auto" w:val="clear"/>
          <w:lang w:eastAsia="zxx"/>
        </w:rPr>
        <w:t xml:space="preserve">Warunki techniczne przyłączenia do sieci wodociągowej, </w:t>
      </w:r>
    </w:p>
    <w:p>
      <w:pPr>
        <w:pStyle w:val="Normal"/>
        <w:numPr>
          <w:ilvl w:val="0"/>
          <w:numId w:val="3"/>
        </w:numPr>
        <w:rPr>
          <w:rFonts w:cs="Times New Roman"/>
          <w:color w:val="000000"/>
          <w:sz w:val="22"/>
          <w:szCs w:val="22"/>
          <w:shd w:fill="auto" w:val="clear"/>
          <w:lang w:eastAsia="zxx"/>
        </w:rPr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Obowiązujące przepisy i normatywy. </w:t>
      </w:r>
    </w:p>
    <w:p>
      <w:pPr>
        <w:pStyle w:val="Heading2"/>
        <w:rPr>
          <w:color w:val="000000"/>
          <w:shd w:fill="auto" w:val="clear"/>
        </w:rPr>
      </w:pPr>
      <w:bookmarkStart w:id="3" w:name="__RefHeading___Toc548_826956218"/>
      <w:bookmarkEnd w:id="3"/>
      <w:r>
        <w:rPr>
          <w:color w:val="000000"/>
          <w:shd w:fill="auto" w:val="clear"/>
        </w:rPr>
        <w:t>STAN ISTNIEJĄCY</w:t>
      </w:r>
    </w:p>
    <w:p>
      <w:pPr>
        <w:pStyle w:val="Normal"/>
        <w:spacing w:lineRule="auto" w:line="240"/>
        <w:jc w:val="both"/>
        <w:rPr/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Do działki nr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1585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doprowadzone jest istniejące przyłącze wodociągowe. W okolicy nie ma istniejącej sieci kanalizacji sanitarnej. Na terenie stacji rozprowadzona jest istniejąca zewnętrzna instalacja kanalizacji deszczowej z odprowadzeniem do rowu zgodnie z aktualnym pozwoleniem wodno-prawnym. </w:t>
      </w:r>
    </w:p>
    <w:p>
      <w:pPr>
        <w:pStyle w:val="Heading2"/>
        <w:rPr>
          <w:i w:val="false"/>
          <w:i w:val="false"/>
          <w:iCs w:val="false"/>
          <w:shd w:fill="auto" w:val="clear"/>
        </w:rPr>
      </w:pPr>
      <w:bookmarkStart w:id="4" w:name="__RefHeading___Toc34_848453239"/>
      <w:bookmarkEnd w:id="4"/>
      <w:r>
        <w:rPr>
          <w:i w:val="false"/>
          <w:iCs w:val="false"/>
          <w:shd w:fill="auto" w:val="clear"/>
        </w:rPr>
        <w:t>ZEWNĘTRZNA INSTALACJA WODY</w:t>
      </w:r>
    </w:p>
    <w:p>
      <w:pPr>
        <w:pStyle w:val="Normal"/>
        <w:rPr/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Do projektowanej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stacji paliw woda doprowadzona będzie z istniejącego przyłącza wodociągowego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De63PE doprowadzonego do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 działki nr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1585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. </w:t>
      </w:r>
    </w:p>
    <w:p>
      <w:pPr>
        <w:pStyle w:val="Normal"/>
        <w:rPr/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Istniejące przyłącze będzie skrócone, na przyłączu zostanie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 zabudowana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>projektowana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 studnia wodomierzowa. Połączenie istniejącego przyłącza z króćcem studni wodomierzowej za pomocą mufy elektrooporowej. </w:t>
      </w:r>
    </w:p>
    <w:p>
      <w:pPr>
        <w:pStyle w:val="Normal"/>
        <w:rPr/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Dokładne położenie i rzędną istniejącego przyłącza w miejscu posadowienia projektowanej studni wodomierzowej należy zweryfikować na budowie za pomocą przekopu kontrolnego wykonanego ręcznie. 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Woda przewidziana jest do celów bytowych pawilonu stacji oraz do zasilania podziemnego zbiornika wody p.poż. </w:t>
      </w:r>
    </w:p>
    <w:p>
      <w:pPr>
        <w:pStyle w:val="Normal"/>
        <w:spacing w:lineRule="auto" w:line="240"/>
        <w:rPr>
          <w:color w:val="00A933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Ponieważ sieć wodociągowa w rejonie przedmiotowej działki nie zapewnia odpowiedniej wydajności dla hydrantu, zabezpieczenie p.poż. stacji paliw zapewni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projektowany podziemny zbiornik wody p.poż. o pojemności 100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Arial"/>
          <w:color w:val="00A933"/>
          <w:sz w:val="22"/>
          <w:szCs w:val="22"/>
          <w:shd w:fill="auto" w:val="clear"/>
          <w:lang w:eastAsia="ar-SA"/>
        </w:rPr>
        <w:t xml:space="preserve">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z nasadą strażacką. </w:t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W projektowanej 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>studni</w:t>
      </w:r>
      <w:r>
        <w:rPr>
          <w:shd w:fill="auto" w:val="clear"/>
          <w:lang w:eastAsia="ar-SA"/>
        </w:rPr>
        <w:t xml:space="preserve"> wodomierzowej zainstalowany zostanie zestaw wodomierzowy, w którego skład wchodzić będą: </w:t>
      </w:r>
    </w:p>
    <w:p>
      <w:pPr>
        <w:pStyle w:val="Normal"/>
        <w:numPr>
          <w:ilvl w:val="0"/>
          <w:numId w:val="3"/>
        </w:numPr>
        <w:rPr>
          <w:rFonts w:cs="Times New Roman"/>
          <w:color w:val="000000"/>
          <w:szCs w:val="22"/>
          <w:shd w:fill="auto" w:val="clear"/>
          <w:lang w:eastAsia="zxx"/>
        </w:rPr>
      </w:pPr>
      <w:r>
        <w:rPr>
          <w:rFonts w:cs="Times New Roman"/>
          <w:color w:val="000000"/>
          <w:szCs w:val="22"/>
          <w:shd w:fill="auto" w:val="clear"/>
          <w:lang w:eastAsia="zxx"/>
        </w:rPr>
        <w:t>zawory odcinające kulowe DN 5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0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, 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color w:val="000000"/>
          <w:szCs w:val="22"/>
          <w:shd w:fill="auto" w:val="clear"/>
          <w:lang w:eastAsia="zxx"/>
        </w:rPr>
        <w:t>wodomierz DN 25, o ciągłym strumieniu objętości Q3 = 6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,3</w:t>
      </w:r>
      <w:r>
        <w:rPr>
          <w:rFonts w:cs="Times New Roman"/>
          <w:color w:val="000000"/>
          <w:szCs w:val="22"/>
          <w:shd w:fill="auto" w:val="clear"/>
          <w:lang w:eastAsia="zxx"/>
        </w:rPr>
        <w:t>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/h, z opcją zdalnego odczytu, 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color w:val="000000"/>
          <w:szCs w:val="22"/>
          <w:shd w:fill="auto" w:val="clear"/>
          <w:lang w:eastAsia="zxx"/>
        </w:rPr>
        <w:t xml:space="preserve">półkompensator umożliwiający wymianę wodomierza, </w:t>
      </w:r>
    </w:p>
    <w:p>
      <w:pPr>
        <w:pStyle w:val="Normal"/>
        <w:numPr>
          <w:ilvl w:val="0"/>
          <w:numId w:val="3"/>
        </w:numPr>
        <w:rPr>
          <w:rFonts w:cs="Times New Roman"/>
          <w:color w:val="000000"/>
          <w:szCs w:val="22"/>
          <w:shd w:fill="auto" w:val="clear"/>
          <w:lang w:eastAsia="zxx"/>
        </w:rPr>
      </w:pPr>
      <w:r>
        <w:rPr>
          <w:rFonts w:cs="Times New Roman"/>
          <w:color w:val="000000"/>
          <w:szCs w:val="22"/>
          <w:shd w:fill="auto" w:val="clear"/>
          <w:lang w:eastAsia="zxx"/>
        </w:rPr>
        <w:t>filtr siatkowy do wody DN 5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0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, </w:t>
      </w:r>
    </w:p>
    <w:p>
      <w:pPr>
        <w:pStyle w:val="Normal"/>
        <w:numPr>
          <w:ilvl w:val="0"/>
          <w:numId w:val="3"/>
        </w:numP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zawór antyskażeniowy klasy EA DN 50. </w:t>
      </w:r>
    </w:p>
    <w:p>
      <w:pPr>
        <w:pStyle w:val="Normal"/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Przed i za wodomierzami należy zainstalować proste odcinki zgodnie z DTR wodomierza. </w:t>
      </w:r>
    </w:p>
    <w:p>
      <w:pPr>
        <w:pStyle w:val="Normal"/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Montażu wodomierza dokonuje GPK Sp. z o.o.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Studnia wodomierzowa okrągła,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z prefabrykowanych typowych elementów betonowych i żelbetowych łączonych na uszczelki gumowe z komorą roboczą o średnicy 1500 mm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. Przykrycie wejścia do studni, w terenie zielonym, włazem żeliwnym, klasy B125, okrągłym, o prześwicie Ø 600 mm.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Prefabrykowane elementy betonowe do budowy studzienki wykonane będą z betonu zgodnie z normą PN-EN 206-1 o odpowiedniej klasie ekspozycji min. XA1 i wytrzymałości klasy min. C35/45, wodoszczelnego (min. W8) i o nasiąkliwości nie większej niż 5%.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Zewnętrzna powierzchnia studni zaizolowana przeciwwilgociowo. Wewnątrz studni zastosować izolację termiczną do głębokości min. 1,0 m - styropian 5 cm.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Na wejściu do studni zastosować stopnie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złazowe żeliwne typu ciężkiego lub klamry stalowe o pełnym profilu w otulinie PE,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 mocowane w odległości pionowej nie przekraczającej 300mm. </w:t>
      </w:r>
    </w:p>
    <w:p>
      <w:pPr>
        <w:pStyle w:val="Normal"/>
        <w:widowControl/>
        <w:suppressAutoHyphens w:val="true"/>
        <w:bidi w:val="0"/>
        <w:jc w:val="both"/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Przewody i armaturę w studni zaizolować otuliną z polietylenu o grubości min. 40mm.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Zestaw wodomierzowy mocować do ścian lub dna studni za pomocą podpór z kształtowników stalowych. Wodomierz montować na konsoli. </w:t>
      </w:r>
    </w:p>
    <w:p>
      <w:pPr>
        <w:pStyle w:val="Normal"/>
        <w:widowControl/>
        <w:suppressAutoHyphens w:val="true"/>
        <w:bidi w:val="0"/>
        <w:jc w:val="both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Przejścia przewodów przez ściany studni wykonać za pomocą przejścia szczelnego ciśnieniowego systemowego np. typu GP-SR prod. Integra. </w:t>
      </w:r>
    </w:p>
    <w:p>
      <w:pPr>
        <w:pStyle w:val="Normal"/>
        <w:rPr>
          <w:color w:val="000000"/>
          <w:shd w:fill="auto" w:val="clear"/>
          <w:lang w:eastAsia="ar-SA"/>
        </w:rPr>
      </w:pPr>
      <w:r>
        <w:rPr>
          <w:color w:val="000000"/>
          <w:shd w:fill="auto" w:val="clear"/>
          <w:lang w:eastAsia="ar-SA"/>
        </w:rPr>
        <w:t xml:space="preserve">Ze studni wodomierzowej poprowadzona będzie zewnętrzna instalacja wody do budynku stacji paliw oraz do podziemnego zbiornika wody p.poż.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Na rurociągu zasilającym zbiornik należy zabudować studnię z typowych elementów betonowych DN 1000 mm na zawór odcinający i zawór antyskażeniowy typu EA. Studnię zaizolować styropianem gr. 50mm do głębokości strefy przemarzania.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 xml:space="preserve">Zewnętrzną instalację wody wykonać z rur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PE 100 SDR 11 o średnicy De 50 mm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, łączonych przez zgrzewanie doczołowe</w:t>
      </w:r>
      <w:r>
        <w:rPr>
          <w:rFonts w:cs="Arial"/>
          <w:color w:val="000000"/>
          <w:shd w:fill="auto" w:val="clear"/>
          <w:lang w:eastAsia="ar-SA"/>
        </w:rPr>
        <w:t xml:space="preserve">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Wejście wodociągu do budynku należy wykonać w rurze osłonowej.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Przed przystąpieniem do układania przewodów należy starannie oczyścić podłoże z kamieni, wyrównać oraz odwodnić wykop.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Projektowane przewody wodociągowe prowadzić na podsypce z piasku grubości min. 10 cm z zasypką do wysokości 20 cm ponad wierch rury.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>Trasę wykonanego wodociągu należy oznaczyć taśmą lokalizacyjną koloru niebieskiego z wtopioną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 xml:space="preserve">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wkładką metalową</w:t>
      </w:r>
      <w:r>
        <w:rPr>
          <w:color w:val="000000"/>
          <w:shd w:fill="auto" w:val="clear"/>
          <w:lang w:eastAsia="ar-SA"/>
        </w:rPr>
        <w:t xml:space="preserve">. Taśmę należy ułożyć 30 cm nad grzbietem rury, końce połączyć z zasuwą i zaworem przed wodomierzem.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 miejscu wpięcia do sieci pod armaturę należy wylać bloki podporowe.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Lokalizacja armatury powinna być oznakowana w terenie przy pomocy tabliczek informacyjnych z domiarami do punktów stałych, zgodnie z PN-86/B-09700, umocowanych na obiektach stałych (ogrodzenie, słupek, ściana budynku). </w:t>
      </w:r>
    </w:p>
    <w:p>
      <w:pPr>
        <w:pStyle w:val="Normal"/>
        <w:rPr>
          <w:shd w:fill="auto" w:val="clear"/>
          <w:lang w:eastAsia="ar-SA"/>
        </w:rPr>
      </w:pPr>
      <w:r>
        <w:rPr>
          <w:rFonts w:cs="Arial"/>
          <w:sz w:val="22"/>
          <w:szCs w:val="22"/>
          <w:shd w:fill="auto" w:val="clear"/>
          <w:lang w:eastAsia="ar-SA"/>
        </w:rPr>
        <w:t>Po ułożeniu rur</w:t>
      </w:r>
      <w:r>
        <w:rPr>
          <w:shd w:fill="auto" w:val="clear"/>
          <w:lang w:eastAsia="ar-SA"/>
        </w:rPr>
        <w:t xml:space="preserve"> należy wykonać próbę szczelności zgodnie z wymaganiami normy PN-81/B-10725. Po uzyskaniu pozytywnych wyników próby szczelności należy przewody poddać płukaniu czystą wodą wodociągową, dezynfekcji i ponownemu płukaniu. Przed złączeniem z siecią miejską należy uzyskać pozytywny wynik badania wody. Próbkę do badań wody powinien pobierać upoważniony pracownik Sanepid.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Stosowane rury i kształtki powinny posiadać wymagane certyfikaty, aprobaty techniczne i świadectwa dopuszczenia do stosowania oraz atesty Państwowego Zakładu Higieny.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Ułożone przyłącze wody przed zasypaniem należy zgłosić do pomiaru geodezyjnego i odbioru technicznego.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spacing w:lineRule="auto" w:line="240"/>
        <w:rPr>
          <w:b/>
          <w:bCs/>
          <w:color w:val="auto"/>
        </w:rPr>
      </w:pPr>
      <w:r>
        <w:rPr>
          <w:rFonts w:eastAsia="Times New Roman" w:cs="Arial"/>
          <w:b/>
          <w:bCs/>
          <w:color w:val="000000"/>
          <w:sz w:val="22"/>
          <w:szCs w:val="22"/>
          <w:shd w:fill="auto" w:val="clear"/>
          <w:lang w:val="pl-PL" w:eastAsia="ar-SA" w:bidi="ar-SA"/>
        </w:rPr>
        <w:t xml:space="preserve">Zbiornik wody p.poż.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Zbiornik o pojemności czynnej 100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, podziemny,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 xml:space="preserve">rurowy, o średnicy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3,5 m i długości 11,4m, np. typu OKSYD-ZR prod. Oksydan, zamontowany poniżej strefy przemarzania gruntu,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zgodny z normą PN-B-02857:2017-04 „Ochrona przeciwpożarowa budynków. Przeciwpożarowe zbiorniki wodne. Wymagania ogólne”. Pojemność użytkowa uwzględnia najniższy użyteczny poziom wody na kosz ssawny z zaworem zwrotnym oraz przestrzeń na zawór napełniający. Przy zbiorniku wydzielone będzie stanowisko czerpania wody do celów p.poż. </w:t>
      </w:r>
      <w:r>
        <w:rPr>
          <w:rFonts w:cs="Arial"/>
          <w:color w:val="000000"/>
          <w:shd w:fill="auto" w:val="clear"/>
          <w:lang w:eastAsia="ar-SA"/>
        </w:rPr>
        <w:t xml:space="preserve">Zbiornik będzie wyposażony w: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 xml:space="preserve">- zawór napełniający pływakowy,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>- przewód ssawny zakończony koszem ssawnym z zaworem zwrotnym przy dnie zbiornika i wyprowadzony do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 pojedynczej nasady strażackiej</w:t>
      </w:r>
      <w:r>
        <w:rPr>
          <w:rFonts w:cs="Arial"/>
          <w:color w:val="000000"/>
          <w:shd w:fill="auto" w:val="clear"/>
          <w:lang w:eastAsia="ar-SA"/>
        </w:rPr>
        <w:t xml:space="preserve">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>DN 100,</w:t>
      </w:r>
      <w:r>
        <w:rPr>
          <w:rFonts w:cs="Arial"/>
          <w:color w:val="000000"/>
          <w:shd w:fill="auto" w:val="clear"/>
          <w:lang w:eastAsia="ar-SA"/>
        </w:rPr>
        <w:t xml:space="preserve"> wg. PN-M-51038:2015-08, zamontowanej 0,5 - 1,0 m nad terenem, maksymalnie 2 m od stanowiska czerpania wody.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 xml:space="preserve">- studzienkę nadzbiornikową z klapą i drabiną złazową,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 xml:space="preserve">- przelew awaryjny,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hd w:fill="auto" w:val="clear"/>
          <w:lang w:eastAsia="ar-SA"/>
        </w:rPr>
        <w:t xml:space="preserve">- listwę pomiaru poziomu wody, </w:t>
      </w:r>
    </w:p>
    <w:p>
      <w:pPr>
        <w:pStyle w:val="Normal"/>
        <w:spacing w:lineRule="auto" w:line="240"/>
        <w:rPr>
          <w:shd w:fill="auto" w:val="clear"/>
          <w:lang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- odwodnienie przewodu ssawnego.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b/>
          <w:bCs/>
        </w:rPr>
      </w:pPr>
      <w:r>
        <w:rPr>
          <w:b/>
          <w:bCs/>
          <w:shd w:fill="auto" w:val="clear"/>
          <w:lang w:eastAsia="ar-SA"/>
        </w:rPr>
        <w:t xml:space="preserve">Zapotrzebowanie projektowanej stacji paliw na wodę wyniesie: </w:t>
      </w:r>
    </w:p>
    <w:p>
      <w:pPr>
        <w:pStyle w:val="Normal"/>
        <w:numPr>
          <w:ilvl w:val="0"/>
          <w:numId w:val="3"/>
        </w:numPr>
        <w:rPr/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Qśr.d.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bytowe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=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1,4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m</w:t>
      </w:r>
      <w:r>
        <w:rPr>
          <w:rFonts w:eastAsia="Times New Roman" w:cs="Times New Roman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/d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obę </w:t>
      </w:r>
    </w:p>
    <w:p>
      <w:pPr>
        <w:pStyle w:val="Normal"/>
        <w:numPr>
          <w:ilvl w:val="0"/>
          <w:numId w:val="3"/>
        </w:numPr>
        <w:rPr/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bytowe = 1,1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Normal"/>
        <w:numPr>
          <w:ilvl w:val="0"/>
          <w:numId w:val="3"/>
        </w:numPr>
        <w:rPr/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Qs. do napełn. zb. p.poż. = 0,6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Normal"/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r>
    </w:p>
    <w:p>
      <w:pPr>
        <w:pStyle w:val="Normal"/>
        <w:rPr>
          <w:color w:val="auto"/>
        </w:rPr>
      </w:pPr>
      <w:r>
        <w:rPr>
          <w:rFonts w:eastAsia="Times New Roman" w:cs="Arial"/>
          <w:b/>
          <w:bCs/>
          <w:color w:val="000000"/>
          <w:sz w:val="22"/>
          <w:szCs w:val="22"/>
          <w:shd w:fill="auto" w:val="clear"/>
          <w:lang w:val="pl-PL" w:eastAsia="ar-SA" w:bidi="ar-SA"/>
        </w:rPr>
        <w:t xml:space="preserve">Dobór wodomierza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qs &lt;= Q3 </w:t>
      </w:r>
    </w:p>
    <w:p>
      <w:pPr>
        <w:pStyle w:val="Normal"/>
        <w:rPr/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e zużycie wody dla celów bytowych projektowanej stacji paliw wyniesie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1,1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Zgodnie z normą PN-B-02857:2017-04 zbiornik p.poż. musi zostać napełniony w 100 % w czasie max. 48 h. </w:t>
      </w:r>
    </w:p>
    <w:p>
      <w:pPr>
        <w:pStyle w:val="Normal"/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qs = 100 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/ 48 h = 2,1 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/h = 0,6 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 </w:t>
      </w:r>
    </w:p>
    <w:p>
      <w:pPr>
        <w:pStyle w:val="Normal"/>
        <w:rPr/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Minimalne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zużycie wody do napełnienia zbiornika p.poż. wyniesie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0,6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/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Łączne zużycie wody wyniesie 1,7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/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Maksymalny przepływ obliczeniowy wyniesie 6,12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/h.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Dla qs = 6,12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/h dobrano wodomierz DN 25 o ciągłym strumieniu objętości Q3 = 6,3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/h. </w:t>
      </w:r>
    </w:p>
    <w:p>
      <w:pPr>
        <w:pStyle w:val="Heading2"/>
        <w:rPr/>
      </w:pPr>
      <w:bookmarkStart w:id="5" w:name="__RefHeading___Toc36_848453239"/>
      <w:bookmarkEnd w:id="5"/>
      <w:r>
        <w:rPr>
          <w:i w:val="false"/>
          <w:iCs w:val="false"/>
          <w:shd w:fill="auto" w:val="clear"/>
        </w:rPr>
        <w:t xml:space="preserve">ZEWNĘTRZNA INSTALACJA </w:t>
      </w:r>
      <w:r>
        <w:rPr>
          <w:b/>
          <w:bCs/>
          <w:i w:val="false"/>
          <w:iCs w:val="false"/>
          <w:shd w:fill="auto" w:val="clear"/>
        </w:rPr>
        <w:t>KANALIZACJI SANITARNEJ</w:t>
      </w:r>
    </w:p>
    <w:p>
      <w:pPr>
        <w:pStyle w:val="Normal"/>
        <w:spacing w:lineRule="auto" w:line="240"/>
        <w:jc w:val="both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 okolicy projektowanej stacji paliw nie ma obecnie istniejącej sieci kanalizacji sanitarnej, dlatego ścieki sanitarne z projektowanego budynku będą odprowadzane do szczelnego zbiornika bezodpływowego. </w:t>
      </w:r>
    </w:p>
    <w:p>
      <w:pPr>
        <w:pStyle w:val="Normal"/>
        <w:spacing w:lineRule="auto" w:line="240"/>
        <w:rPr/>
      </w:pPr>
      <w:r>
        <w:rPr>
          <w:rFonts w:cs="Arial"/>
          <w:color w:val="000000"/>
          <w:sz w:val="22"/>
          <w:szCs w:val="22"/>
          <w:shd w:fill="auto" w:val="clear"/>
          <w:lang w:eastAsia="zxx"/>
        </w:rPr>
        <w:t>Zbiornik żelbetowy, prostopadłościenny, jednokomorowy, szczelny, o pojemności 14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>, zlokalizowanego na terenie stacji. Zbiornik</w:t>
      </w:r>
      <w:r>
        <w:rPr>
          <w:rFonts w:eastAsia="Times New Roman" w:cs="Calibri"/>
          <w:b w:val="false"/>
          <w:bCs w:val="false"/>
          <w:i w:val="false"/>
          <w:iCs w:val="false"/>
          <w:color w:val="000000"/>
          <w:sz w:val="22"/>
          <w:szCs w:val="24"/>
          <w:shd w:fill="auto" w:val="clear"/>
          <w:lang w:val="pl-PL" w:eastAsia="zh-CN" w:bidi="ar-SA"/>
        </w:rPr>
        <w:t xml:space="preserve"> będzie wyposażony w system alarmowy przepełnienia, z modułem gsm. </w:t>
      </w:r>
    </w:p>
    <w:p>
      <w:pPr>
        <w:pStyle w:val="Normal"/>
        <w:rPr/>
      </w:pP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zh-CN" w:bidi="ar-SA"/>
        </w:rPr>
        <w:t>Z</w:t>
      </w:r>
      <w:r>
        <w:rPr>
          <w:shd w:fill="auto" w:val="clear"/>
        </w:rPr>
        <w:t xml:space="preserve">ewnętrzną instalację kanalizacji sanitarnej </w:t>
      </w:r>
      <w:r>
        <w:rPr>
          <w:shd w:fill="auto" w:val="clear"/>
          <w:lang w:eastAsia="ar-SA"/>
        </w:rPr>
        <w:t xml:space="preserve">wykonać </w:t>
      </w:r>
      <w:r>
        <w:rPr>
          <w:shd w:fill="auto" w:val="clear"/>
        </w:rPr>
        <w:t>z rur PVC-U</w:t>
      </w:r>
      <w:r>
        <w:rPr>
          <w:rFonts w:cs="Times New Roman"/>
          <w:sz w:val="22"/>
          <w:szCs w:val="22"/>
          <w:shd w:fill="auto" w:val="clear"/>
          <w:lang w:eastAsia="ar-SA"/>
        </w:rPr>
        <w:t xml:space="preserve"> ze ścianką z rdzeniem litym, S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>N8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, SDR 34</w:t>
      </w:r>
      <w:r>
        <w:rPr>
          <w:rFonts w:cs="Times New Roman"/>
          <w:sz w:val="22"/>
          <w:szCs w:val="22"/>
          <w:shd w:fill="auto" w:val="clear"/>
          <w:lang w:eastAsia="ar-SA"/>
        </w:rPr>
        <w:t>,</w:t>
      </w:r>
      <w:r>
        <w:rPr>
          <w:shd w:fill="auto" w:val="clear"/>
        </w:rPr>
        <w:t xml:space="preserve"> o średnicy 0,16 m, łączonych na uszczelki.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>Napotkane na trasie kable lub przewody powinny być zabezpieczane przed uszkodzeniem.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rPr/>
      </w:pPr>
      <w:r>
        <w:rPr>
          <w:rFonts w:cs="Times New Roman"/>
          <w:szCs w:val="22"/>
          <w:shd w:fill="auto" w:val="clear"/>
        </w:rPr>
        <w:t xml:space="preserve">Uzbrojeniem będą studzienki kanalizacyjne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z prefabrykowanych typowych elementów betonowych i żelbetowych łączonych na uszczelki gumowe z komorą roboczą o średnicy 1000 mm</w:t>
      </w:r>
      <w:r>
        <w:rPr>
          <w:rFonts w:cs="Times New Roman"/>
          <w:color w:val="000000"/>
          <w:szCs w:val="22"/>
          <w:shd w:fill="auto" w:val="clear"/>
        </w:rPr>
        <w:t xml:space="preserve">. 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>Przykrycie studzienek włazami żeliwnymi klasy B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125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>.</w:t>
      </w:r>
      <w:r>
        <w:rPr>
          <w:rFonts w:cs="Times New Roman"/>
          <w:color w:val="000000"/>
          <w:szCs w:val="22"/>
          <w:shd w:fill="auto" w:val="clear"/>
        </w:rPr>
        <w:t xml:space="preserve">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>Stopnie złazowe żeliwne typu ciężkiego lub klamry stalowe o pełnym profilu w otulinie PE.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Kinety mają być wykonane fabrycznie ze spadkiem. Studnie będą posadowione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na 20 cm podbudowie z betonu C12/15, wylewanej na gruncie rodzimym. Dolny prefabrykat ustawić na 2 cm warstwie świeżej zaprawy cementowej (Rz=10MPa) ułożonej na wylanym podłożu.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Włazy kanałowe do studzienek żeliwne klasy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B125</w:t>
      </w:r>
      <w:r>
        <w:rPr>
          <w:rFonts w:cs="Arial"/>
          <w:sz w:val="22"/>
          <w:szCs w:val="22"/>
        </w:rPr>
        <w:t xml:space="preserve">, dwu lub czterootworowe, bez wentylacji, zgodnie z PN-EN 124.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Times New Roman"/>
          <w:color w:val="000000"/>
          <w:sz w:val="22"/>
          <w:szCs w:val="22"/>
          <w:shd w:fill="auto" w:val="clear"/>
        </w:rPr>
        <w:t xml:space="preserve">Studnie należy wykonywać zgodnie z PN-92/B-10729 oraz PN-EN 476. </w:t>
      </w:r>
    </w:p>
    <w:p>
      <w:pPr>
        <w:pStyle w:val="Normal"/>
        <w:rPr/>
      </w:pPr>
      <w:r>
        <w:rPr>
          <w:shd w:fill="auto" w:val="clear"/>
        </w:rPr>
        <w:t xml:space="preserve">Instalację kanalizacyjną wykonywać zgodnie z wymaganiami normy PN-92/B-01707 oraz PN-EN 1610:2002. Stosowane rury i kształtki powinny posiadać wymagane atesty i aprobaty techniczne. </w:t>
      </w:r>
      <w:r>
        <w:rPr>
          <w:shd w:fill="auto" w:val="clear"/>
          <w:lang w:eastAsia="ar-SA"/>
        </w:rPr>
        <w:t xml:space="preserve">Ułożone przewody kanalizacji przed zasypaniem należy zgłosić do pomiaru geodezyjnego i odbioru technicznego. 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rFonts w:eastAsia="Times New Roman" w:cs="Times New Roman"/>
          <w:b w:val="false"/>
          <w:bCs w:val="false"/>
          <w:i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Ilość ścieków bytowych odprowadzanych z projektowanej stacji paliw, przyjęta w oparciu o bilans zapotrzebowania wody, wyniesie: </w:t>
      </w:r>
    </w:p>
    <w:p>
      <w:pPr>
        <w:pStyle w:val="Normal"/>
        <w:numPr>
          <w:ilvl w:val="0"/>
          <w:numId w:val="3"/>
        </w:numPr>
        <w:rPr/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Qśr.d.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=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1,4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m</w:t>
      </w:r>
      <w:r>
        <w:rPr>
          <w:rFonts w:eastAsia="Times New Roman" w:cs="Times New Roman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/d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obę </w:t>
      </w:r>
    </w:p>
    <w:p>
      <w:pPr>
        <w:pStyle w:val="Normal"/>
        <w:numPr>
          <w:ilvl w:val="0"/>
          <w:numId w:val="3"/>
        </w:numPr>
        <w:rPr/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= 1,1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Heading2"/>
        <w:rPr>
          <w:b/>
          <w:bCs/>
          <w:i w:val="false"/>
          <w:i w:val="false"/>
          <w:iCs w:val="false"/>
          <w:shd w:fill="auto" w:val="clear"/>
        </w:rPr>
      </w:pPr>
      <w:bookmarkStart w:id="6" w:name="__RefHeading___Toc610_1833919552"/>
      <w:bookmarkEnd w:id="6"/>
      <w:r>
        <w:rPr>
          <w:b/>
          <w:bCs/>
          <w:i w:val="false"/>
          <w:iCs w:val="false"/>
          <w:shd w:fill="auto" w:val="clear"/>
        </w:rPr>
        <w:t>ZEWNĘTRZNA INSTALACJA KANALIZACJI DESZCZOWEJ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Wody opadowe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i roztopowe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 xml:space="preserve"> z projektowanego budynku i z przenoszonych wpustów ulicznych będą odprowadzane do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rowu przydrożnego poprzez istniejące przyłącze i istniejącą zewnętrzną instalację kanalizacji deszczowej, którą w większości pozostawia się bez zmian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. </w:t>
      </w:r>
    </w:p>
    <w:p>
      <w:pPr>
        <w:pStyle w:val="Normal"/>
        <w:rPr/>
      </w:pPr>
      <w:r>
        <w:rPr>
          <w:rFonts w:cs="Arial"/>
          <w:b w:val="false"/>
          <w:bCs w:val="false"/>
          <w:sz w:val="22"/>
          <w:szCs w:val="22"/>
          <w:shd w:fill="auto" w:val="clear"/>
          <w:lang w:eastAsia="ar-SA"/>
        </w:rPr>
        <w:t>Projektowane odcinki k</w:t>
      </w:r>
      <w:r>
        <w:rPr>
          <w:rFonts w:cs="Arial"/>
          <w:b w:val="false"/>
          <w:bCs w:val="false"/>
          <w:shd w:fill="auto" w:val="clear"/>
          <w:lang w:eastAsia="ar-SA"/>
        </w:rPr>
        <w:t>analizacji deszczowej wykonane będą z rur PVC-U ze ścianką z rdzeniem litym</w:t>
      </w:r>
      <w:r>
        <w:rPr>
          <w:rFonts w:cs="Arial"/>
          <w:b w:val="false"/>
          <w:bCs w:val="false"/>
          <w:sz w:val="22"/>
          <w:szCs w:val="22"/>
          <w:shd w:fill="auto" w:val="clear"/>
          <w:lang w:eastAsia="ar-SA"/>
        </w:rPr>
        <w:t>, SN8, SDR 34,</w:t>
      </w:r>
      <w:r>
        <w:rPr>
          <w:rFonts w:cs="Arial"/>
          <w:b w:val="false"/>
          <w:bCs w:val="false"/>
          <w:shd w:fill="auto" w:val="clear"/>
          <w:lang w:eastAsia="ar-SA"/>
        </w:rPr>
        <w:t xml:space="preserve"> o średnicy 0,11 do 0,20 m, łączonych na uszczelki. </w:t>
      </w:r>
    </w:p>
    <w:p>
      <w:pPr>
        <w:pStyle w:val="Normal"/>
        <w:rPr/>
      </w:pPr>
      <w:r>
        <w:rPr>
          <w:rFonts w:cs="Arial"/>
          <w:b w:val="false"/>
          <w:bCs w:val="false"/>
          <w:shd w:fill="auto" w:val="clear"/>
          <w:lang w:eastAsia="ar-SA"/>
        </w:rPr>
        <w:t>Na kana</w:t>
      </w: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łach przewidziano wykonanie studzienek rewizyjnych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z prefabrykowanych typowych elementów betonowych i żelbetowych łączonych na uszczelki gumowe z komorą roboczą o średnicy 1000 mm</w:t>
      </w: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. </w:t>
      </w:r>
      <w:r>
        <w:rPr>
          <w:rFonts w:cs="Arial"/>
          <w:b w:val="false"/>
          <w:bCs w:val="false"/>
          <w:shd w:fill="auto" w:val="clear"/>
          <w:lang w:eastAsia="ar-SA"/>
        </w:rPr>
        <w:t xml:space="preserve">Przykrycie studzienek włazami żeliwnymi </w:t>
      </w:r>
      <w:r>
        <w:rPr>
          <w:rFonts w:cs="Arial"/>
          <w:b w:val="false"/>
          <w:bCs w:val="false"/>
          <w:sz w:val="22"/>
          <w:szCs w:val="22"/>
          <w:shd w:fill="auto" w:val="clear"/>
          <w:lang w:eastAsia="ar-SA"/>
        </w:rPr>
        <w:t xml:space="preserve">klasy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D400 w terenie utwardzonym i klasy B125 w terenie zielonym</w:t>
      </w:r>
      <w:r>
        <w:rPr>
          <w:rFonts w:cs="Arial"/>
          <w:b w:val="false"/>
          <w:bCs w:val="false"/>
          <w:shd w:fill="auto" w:val="clear"/>
          <w:lang w:eastAsia="ar-SA"/>
        </w:rPr>
        <w:t xml:space="preserve">. </w:t>
      </w:r>
    </w:p>
    <w:p>
      <w:pPr>
        <w:pStyle w:val="Normal"/>
        <w:rPr>
          <w:rFonts w:cs="Arial"/>
          <w:color w:val="auto"/>
          <w:szCs w:val="22"/>
          <w:shd w:fill="auto" w:val="clear"/>
          <w:lang w:eastAsia="ar-SA"/>
        </w:rPr>
      </w:pPr>
      <w:r>
        <w:rPr>
          <w:rFonts w:cs="Arial"/>
          <w:color w:val="000000"/>
          <w:szCs w:val="22"/>
          <w:shd w:fill="auto" w:val="clear"/>
          <w:lang w:eastAsia="ar-SA"/>
        </w:rPr>
        <w:t xml:space="preserve">Wpusty uliczne z prefabrykowanych typowych elementów betonowych o średnicy 500 mm, z osadnikiem o wysokości 0,5 m, z żeliwnym rusztem uchylnym płaskim klasy C250. </w:t>
      </w:r>
    </w:p>
    <w:p>
      <w:pPr>
        <w:pStyle w:val="Normal"/>
        <w:rPr>
          <w:rFonts w:cs="Arial"/>
          <w:color w:val="auto"/>
          <w:szCs w:val="22"/>
          <w:lang w:eastAsia="ar-SA"/>
        </w:rPr>
      </w:pP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Odwodnienie korytowe tac szczelnych z prefabrykowanych typowych elementów betonowych, np. typu Beton-Bytom, Hoger. </w:t>
      </w:r>
    </w:p>
    <w:p>
      <w:pPr>
        <w:pStyle w:val="Normal"/>
        <w:rPr>
          <w:rFonts w:ascii="Arial" w:hAnsi="Arial" w:cs="Arial"/>
          <w:b w:val="false"/>
          <w:bCs w:val="false"/>
          <w:shd w:fill="auto" w:val="clear"/>
          <w:lang w:eastAsia="ar-SA"/>
        </w:rPr>
      </w:pPr>
      <w:r>
        <w:rPr>
          <w:rFonts w:cs="Arial"/>
          <w:b w:val="false"/>
          <w:bCs w:val="false"/>
          <w:shd w:fill="auto" w:val="clear"/>
          <w:lang w:eastAsia="ar-SA"/>
        </w:rPr>
        <w:t xml:space="preserve">Na przewodach odwodnienia studni nadzbiornikowych i studni zlewowej zamontować zasuwę nożową DN 100 z drążkiem i skrzynką uliczną. Odpływy z odwodnienia tacy szczelnej zasyfonować. </w:t>
      </w:r>
    </w:p>
    <w:p>
      <w:pPr>
        <w:pStyle w:val="Normal"/>
        <w:rPr/>
      </w:pPr>
      <w:r>
        <w:rPr>
          <w:rFonts w:cs="Arial"/>
          <w:b w:val="false"/>
          <w:bCs w:val="false"/>
          <w:shd w:fill="auto" w:val="clear"/>
          <w:lang w:eastAsia="ar-SA"/>
        </w:rPr>
        <w:t xml:space="preserve">Wody opadowe oczyszczane będą w zakresie zawiesin i substancji ropopochodnych za pomocą istniejącego separatora z osadnikiem.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Napotkane na trasie kable lub przewody powinny być zabezpieczane przed uszkodzeniem.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Stopnie złazowe żeliwne typu ciężkiego lub klamry stalowe o pełnym profilu w otulinie PE.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Kinety mają być wykonane fabrycznie ze spadkiem. Studnie będą posadowione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na 20 cm podbudowie z betonu C12/15, wylewanej na gruncie rodzimym, wpusty na 10 cm podbudowie betonowej. Dolny prefabrykat ustawić na 2 cm warstwie świeżej zaprawy cementowej (Rz=10MPa) ułożonej na wylanym podłożu.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Times New Roman"/>
          <w:color w:val="000000"/>
          <w:sz w:val="22"/>
          <w:szCs w:val="22"/>
          <w:shd w:fill="auto" w:val="clear"/>
        </w:rPr>
        <w:t xml:space="preserve">Studnie należy wykonywać zgodnie z PN-92/B-10729 oraz PN-EN 476.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</w:rPr>
        <w:t xml:space="preserve">Wszystkie studnie i wpusty w odległości 8 m od zbiornika i dystrybutora LPG powinny być zasyfonowane.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h-CN" w:bidi="ar-SA"/>
        </w:rPr>
        <w:t xml:space="preserve">Instalację kanalizacyjną wykonywać zgodnie z wymaganiami normy PN-92/B-01707 oraz PN-EN 1610:2002. Stosowane rury i kształtki powinny posiadać wymagane atesty i aprobaty techniczne. 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Ułożone przewody kanalizacji przed zasypaniem należy zgłosić do pomiaru geodezyjnego i odbioru technicznego. </w:t>
      </w:r>
    </w:p>
    <w:p>
      <w:pPr>
        <w:pStyle w:val="Heading2"/>
        <w:rPr>
          <w:b/>
          <w:bCs/>
          <w:i w:val="false"/>
          <w:i w:val="false"/>
          <w:iCs w:val="false"/>
          <w:shd w:fill="auto" w:val="clear"/>
        </w:rPr>
      </w:pPr>
      <w:bookmarkStart w:id="7" w:name="__RefHeading___Toc44_848453239"/>
      <w:bookmarkEnd w:id="7"/>
      <w:r>
        <w:rPr>
          <w:b/>
          <w:bCs/>
          <w:i w:val="false"/>
          <w:iCs w:val="false"/>
          <w:shd w:fill="auto" w:val="clear"/>
        </w:rPr>
        <w:t>WYKOPY I SZALOWANIE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Roboty ziemne wykonać zgodnie z normą PrPN-B-10736, a roboty ziemne związane z odbudową dróg wg PN-S-02205:1998 (ICS 93.080.10).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Wykonawca robót powinien zapoznać się z załączonymi do projektu budowlanego uzgodnieniami. Przed przystąpieniem do wykonywania robót ziemnych należy wytyczyć oś trasy rurociągu. Teren objęty robotami ogrodzić i oznakować. O prowadzeniu prac w pobliżu istniejącego uzbrojenia podziemnego powiadomić jego właściciela, roboty prowadzić pod jego nadzorem.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Wykopy w miejscach występowania uzbrojenia podziemnego należy wykonywać ręcznie o ścianach pionowych oraz wykonać szalowanie ścian wykopu systemowe z rozporami np. SBH, zamiennie można szalować palami szalunkowymi KS 3,25 (wypraski), pozostałe wykopy wykonywać mechanicznie. Rozparcie wykopów powinno być pewne i stateczne w każdej fazie jego wykonywania. W czasie realizacji budowy sprawdzać stateczność wykonanego zabezpieczenia, a w przypadkach koniecznych odpowiednio je wzmacniać. Przeglądu zabezpieczeń dokonywać między innymi po większych opadach atmosferycznych (możliwość wymycia gruntu rodzimego).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Ostatnią warstwę gruntu w wykopie o grubości 0,1 m zdjąć ręcznie bez naruszania gruntu rodzimego. Dno wykopu wyrównać ręcznie. W razie naruszenia gruntu rodzimego powierzchnię dna zagęścić. W gruntach innych niż piaszczyste wykonać podsypkę z piasku grubości 15-20 cm i zagęścić.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Podłoże, na którym będą posadawiane rury, studnie i wpusty powinno być zagęszczone do min. Is = 0,98. Rury ułożone na podłożu należy obsypać piaskiem do wysokości 30 cm ponad jej zwieńczenie. Piasek zagęszczać po obu stronach rury, a następnie lekkim sprzętem zagęścić całą obsypkę.  Powyżej grunt piaszczysty zagęszczać: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– </w:t>
      </w:r>
      <w:r>
        <w:rPr>
          <w:color w:val="000000"/>
          <w:shd w:fill="auto" w:val="clear"/>
          <w:lang w:eastAsia="ar-SA"/>
        </w:rPr>
        <w:t xml:space="preserve">dla warstwy o grubości 1,0 m od korony zasypu – min. Is = 0,98,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– </w:t>
      </w:r>
      <w:r>
        <w:rPr>
          <w:color w:val="000000"/>
          <w:shd w:fill="auto" w:val="clear"/>
          <w:lang w:eastAsia="ar-SA"/>
        </w:rPr>
        <w:t xml:space="preserve">poniżej w/w warstwy – min. Is = 0,95,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– </w:t>
      </w:r>
      <w:r>
        <w:rPr>
          <w:color w:val="000000"/>
          <w:shd w:fill="auto" w:val="clear"/>
          <w:lang w:eastAsia="ar-SA"/>
        </w:rPr>
        <w:t xml:space="preserve">dla gruntu pod drogami min. Is = 1,00 na głębokość 1,2m ppt.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W obrębie rury (w obsypce) nie powinny się znajdować kamienie lub inne twarde przedmioty.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Należy zwrócić szczególną uwagę, aby przy pracach ziemnych realizujących podziemne uzbrojenie liniowe w ciągach drogowych zasypywanie wykopów odbywało się w sposób kontrolowany. Powinno to obejmować zasypywanie z zagęszczaniem warstwowym oraz kontrolą stanu zagęszczenia zasypów. Prace te powinny być prowadzone w sposób, który przywróci podłożu gruntowemu stan nośności sprzed rozformowania gruntów nasypowych i rodzimych. Grunt wybrany należy wywieźć i zutylizować.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Napotkane na trasie kable lub przewody powinny być zabezpieczane przed uszkodzeniem.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Dla odwodnienia wykopów należy zastosować drenaż ułożony wzdłuż wykopu i studzienki, z których należy odpompowywać wodę do najbliższej studni kanalizacyjnej. </w:t>
      </w:r>
    </w:p>
    <w:p>
      <w:pPr>
        <w:pStyle w:val="Heading2"/>
        <w:rPr>
          <w:i w:val="false"/>
          <w:i w:val="false"/>
          <w:iCs w:val="false"/>
          <w:shd w:fill="auto" w:val="clear"/>
        </w:rPr>
      </w:pPr>
      <w:bookmarkStart w:id="8" w:name="__RefHeading___Toc46_848453239"/>
      <w:bookmarkEnd w:id="8"/>
      <w:r>
        <w:rPr>
          <w:i w:val="false"/>
          <w:iCs w:val="false"/>
          <w:shd w:fill="auto" w:val="clear"/>
        </w:rPr>
        <w:t>UWAGI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Wszystkie prace należy prowadzić z zachowaniem warunków BHP, tzn.: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Rozporządzeniem Ministra Infrastruktury z dnia 6.02.2003 r., w sprawie bezpieczeństwa i higieny podczas wykonywania robót budowlanych (Dz.U. Nr 47 poz. 401),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BN-83/8836-02 - Roboty ziemne - wykopy otwarte pod przewody wod-kan.,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 Ministra Pracy i Polityki Socjalnej z dnia 26.09.1997 w sprawie ogólnych przepisów BHP (Dz.U. nr 129 poz. 844),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PN-B-10736/1999 – roboty ziemne – wykopy otwarte pod przewody wod-kan,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 MGPiB z dnia 01.10.1993 w sprawie zasad BHP przy eksploatacji, remontach i konserwacji sieci kanalizacyjnych (Dz.U. nr 96 poz. 437).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Wykopy powinny być oszalowane i zabezpieczone przed dostępem osób niepowołanych oraz oznakowane. W nocy oświetlone. Na terenie budowy powinna się znajdować podręczna apteczka z wyposażeniem umożliwiającym udzielenie pierwszej pomocy w razie wypadku. Pracownicy zatrudnieni przy budowie sieci powinni być przeszkoleni w zakresie BHP odnośnie robót ziemnych.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rFonts w:cs="Arial"/>
          <w:szCs w:val="22"/>
          <w:shd w:fill="auto" w:val="clear"/>
          <w:lang w:eastAsia="ar-SA"/>
        </w:rPr>
      </w:pPr>
      <w:r>
        <w:rPr>
          <w:rFonts w:cs="Arial"/>
          <w:szCs w:val="22"/>
          <w:shd w:fill="auto" w:val="clear"/>
          <w:lang w:eastAsia="ar-SA"/>
        </w:rPr>
        <w:t>Wykonanie i odbiór poszczególnych etapów zamierzenia musi być zgodne z: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W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arunkami technicznymi wykonania i odbioru - tom II - Instalacje sanitarne,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W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arunkami technicznymi wykonania i odbioru rurociągów z tworzyw sztucznych,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Warunkami technicznymi wykonania i odbioru sieci kanalizacyjnych, zeszyt 9 Cobrti Instal,</w:t>
      </w:r>
    </w:p>
    <w:p>
      <w:pPr>
        <w:pStyle w:val="Normal"/>
        <w:numPr>
          <w:ilvl w:val="0"/>
          <w:numId w:val="3"/>
        </w:numPr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Warunkami technicznymi wykonania i odbioru sieci wodociągowych, zeszyt 3 Cobrti Instal,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In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strukcjami producentów rur i urządzeń</w:t>
      </w:r>
      <w:r>
        <w:rPr>
          <w:rFonts w:cs="Times New Roman"/>
          <w:szCs w:val="22"/>
          <w:shd w:fill="auto" w:val="clear"/>
          <w:lang w:eastAsia="zxx"/>
        </w:rPr>
        <w:t>.</w:t>
      </w:r>
    </w:p>
    <w:p>
      <w:pPr>
        <w:pStyle w:val="Normal"/>
        <w:widowControl/>
        <w:suppressAutoHyphens w:val="true"/>
        <w:bidi w:val="0"/>
        <w:jc w:val="both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Ewentualne, konieczne i uzasadnione zmiany dopuszcza się wyłącznie za zgodą Projektanta i Inwestora na podstawie dokumentacji zamiennej lub w trakcie realizacji na podstawie wpisów do dziennika budowy. </w:t>
      </w:r>
    </w:p>
    <w:p>
      <w:pPr>
        <w:pStyle w:val="Normal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Do budowy mogą być wykorzystywane wyłącznie materiały budowlane i wykończeniowe posiadające niezbędne w Polsce atesty i dopuszczenia do stosowania w budownictwie. Niesprecyzowane w niniejszym opracowaniu typy materiałów budowlanych należy uściślić przed zakupem w porozumieniu z doradztwem technicznym producenta bądź dostawcy. Ściśle przestrzegać instrukcji użycia materiałów budowlanych i wykończeniowych podanych przez producenta lub dostawcę.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pacing w:lineRule="atLeast" w:line="100"/>
        <w:ind w:hanging="0" w:left="0" w:right="0"/>
        <w:jc w:val="both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 xml:space="preserve">W przypadku wystąpienia dodatkowych kolizji lub zmiany zagłębienia przyłącza rozwiązanie techniczne uzgodnić z Projektantem.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Prace budowlane prowadzić zgodnie z projektem, obowiązującymi przepisami, sztuką budowlaną, współczesną wiedzą techniczną, pod nadzorem wykwalifikowanych i uprawnionych osób przestrzegając obowiązujących przepisów BHP.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Nie wyklucza się istnienia w terenie innych nie wykazanych na mapie urządzeń podziemnych, które nie zostały zgłoszone do inwentaryzacji geodezyjnej.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</w:r>
    </w:p>
    <w:p>
      <w:pPr>
        <w:pStyle w:val="Normal"/>
        <w:widowControl/>
        <w:suppressAutoHyphens w:val="true"/>
        <w:bidi w:val="0"/>
        <w:jc w:val="right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Opracowanie:</w:t>
      </w:r>
    </w:p>
    <w:p>
      <w:pPr>
        <w:pStyle w:val="List"/>
        <w:spacing w:before="0" w:after="120"/>
        <w:jc w:val="right"/>
        <w:rPr>
          <w:rFonts w:ascii="Arial" w:hAnsi="Arial" w:cs="Arial"/>
          <w:sz w:val="22"/>
          <w:szCs w:val="22"/>
          <w:shd w:fill="auto" w:val="clear"/>
          <w:lang w:eastAsia="zxx"/>
        </w:rPr>
      </w:pPr>
      <w:r>
        <w:rPr>
          <w:rFonts w:cs="Arial"/>
          <w:sz w:val="22"/>
          <w:szCs w:val="22"/>
          <w:shd w:fill="auto" w:val="clear"/>
          <w:lang w:eastAsia="zxx"/>
        </w:rPr>
        <w:t>mgr inż. Elżbieta Bester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</w:r>
    </w:p>
    <w:sectPr>
      <w:footerReference w:type="even" r:id="rId2"/>
      <w:footerReference w:type="default" r:id="rId3"/>
      <w:type w:val="nextPage"/>
      <w:pgSz w:w="11906" w:h="16838"/>
      <w:pgMar w:left="1417" w:right="1134" w:gutter="0" w:header="0" w:top="907" w:footer="680" w:bottom="10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Wingdings 2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Heading3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i w:val="false"/>
        <w:b/>
        <w:iCs w:val="false"/>
      </w:rPr>
    </w:lvl>
    <w:lvl w:ilvl="3">
      <w:start w:val="1"/>
      <w:pStyle w:val="Heading4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pStyle w:val="Heading5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  <w:i w:val="false"/>
        <w:u w:val="none"/>
        <w:b w:val="false"/>
        <w:shd w:fill="auto" w:val="clear"/>
        <w:szCs w:val="22"/>
        <w:color w:val="000000"/>
        <w:lang w:val="pl-PL" w:eastAsia="zxx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both"/>
    </w:pPr>
    <w:rPr>
      <w:rFonts w:ascii="Arial" w:hAnsi="Arial" w:eastAsia="Times New Roman" w:cs="Calibri"/>
      <w:color w:val="auto"/>
      <w:kern w:val="0"/>
      <w:sz w:val="22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cs="Arial"/>
      <w:b/>
      <w:bCs/>
      <w:kern w:val="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paragraph" w:styleId="Heading5">
    <w:name w:val="Heading 5"/>
    <w:basedOn w:val="Nagwek"/>
    <w:next w:val="BodyText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Heading6">
    <w:name w:val="Heading 6"/>
    <w:basedOn w:val="Nagwek"/>
    <w:next w:val="BodyText"/>
    <w:qFormat/>
    <w:pPr>
      <w:numPr>
        <w:ilvl w:val="5"/>
        <w:numId w:val="1"/>
      </w:numPr>
      <w:spacing w:before="60" w:after="60"/>
      <w:ind w:hanging="0" w:left="0" w:right="0"/>
      <w:outlineLvl w:val="5"/>
    </w:pPr>
    <w:rPr>
      <w:b/>
      <w:bCs/>
      <w:i/>
      <w:iCs/>
      <w:sz w:val="24"/>
      <w:szCs w:val="24"/>
    </w:rPr>
  </w:style>
  <w:style w:type="paragraph" w:styleId="Heading7">
    <w:name w:val="Heading 7"/>
    <w:basedOn w:val="Nagwek"/>
    <w:next w:val="BodyText"/>
    <w:qFormat/>
    <w:pPr>
      <w:numPr>
        <w:ilvl w:val="6"/>
        <w:numId w:val="1"/>
      </w:numPr>
      <w:spacing w:before="60" w:after="60"/>
      <w:ind w:hanging="0" w:left="0" w:right="0"/>
      <w:outlineLvl w:val="6"/>
    </w:pPr>
    <w:rPr>
      <w:b/>
      <w:bCs/>
      <w:sz w:val="22"/>
      <w:szCs w:val="22"/>
    </w:rPr>
  </w:style>
  <w:style w:type="paragraph" w:styleId="Heading8">
    <w:name w:val="Heading 8"/>
    <w:basedOn w:val="Nagwek"/>
    <w:next w:val="BodyText"/>
    <w:qFormat/>
    <w:pPr>
      <w:numPr>
        <w:ilvl w:val="7"/>
        <w:numId w:val="1"/>
      </w:numPr>
      <w:spacing w:before="60" w:after="60"/>
      <w:ind w:hanging="0" w:left="0" w:right="0"/>
      <w:outlineLvl w:val="7"/>
    </w:pPr>
    <w:rPr>
      <w:b/>
      <w:bCs/>
      <w:i/>
      <w:iCs/>
      <w:sz w:val="22"/>
      <w:szCs w:val="22"/>
    </w:rPr>
  </w:style>
  <w:style w:type="paragraph" w:styleId="Heading9">
    <w:name w:val="Heading 9"/>
    <w:basedOn w:val="Nagwek"/>
    <w:next w:val="BodyText"/>
    <w:qFormat/>
    <w:pPr>
      <w:numPr>
        <w:ilvl w:val="8"/>
        <w:numId w:val="1"/>
      </w:numPr>
      <w:spacing w:before="60" w:after="60"/>
      <w:ind w:hanging="0" w:left="0" w:right="0"/>
      <w:outlineLvl w:val="8"/>
    </w:pPr>
    <w:rPr>
      <w:b/>
      <w:bCs/>
      <w:sz w:val="21"/>
      <w:szCs w:val="21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>
      <w:i w:val="false"/>
      <w:iCs w:val="false"/>
    </w:rPr>
  </w:style>
  <w:style w:type="character" w:styleId="WW8Num1z3">
    <w:name w:val="WW8Num1z3"/>
    <w:qFormat/>
    <w:rPr>
      <w:b/>
      <w:bCs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>
      <w:b/>
      <w:bCs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Arial" w:hAnsi="Arial" w:eastAsia="Times New Roman" w:cs="Arial"/>
      <w:b w:val="false"/>
      <w:i w:val="false"/>
      <w:color w:val="000000"/>
      <w:sz w:val="24"/>
      <w:szCs w:val="22"/>
      <w:u w:val="none"/>
      <w:shd w:fill="auto" w:val="clear"/>
      <w:lang w:val="pl-PL" w:eastAsia="zxx" w:bidi="ar-SA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8Num3z1">
    <w:name w:val="WW8Num3z1"/>
    <w:qFormat/>
    <w:rPr>
      <w:rFonts w:ascii="Wingdings 2" w:hAnsi="Wingdings 2" w:cs="StarSymbol;Arial Unicode MS"/>
      <w:sz w:val="18"/>
      <w:szCs w:val="18"/>
    </w:rPr>
  </w:style>
  <w:style w:type="character" w:styleId="WW8Num3z2">
    <w:name w:val="WW8Num3z2"/>
    <w:qFormat/>
    <w:rPr>
      <w:rFonts w:ascii="StarSymbol;Arial Unicode MS" w:hAnsi="StarSymbol;Arial Unicode MS" w:cs="StarSymbol;Arial Unicode MS"/>
      <w:sz w:val="18"/>
      <w:szCs w:val="18"/>
    </w:rPr>
  </w:style>
  <w:style w:type="character" w:styleId="WW8Num5z0">
    <w:name w:val="WW8Num5z0"/>
    <w:qFormat/>
    <w:rPr>
      <w:rFonts w:ascii="Arial" w:hAnsi="Arial" w:eastAsia="Times New Roman" w:cs="Arial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Arial" w:hAnsi="Arial" w:eastAsia="Times New Roman" w:cs="Arial"/>
      <w:b/>
      <w:bCs/>
      <w:kern w:val="2"/>
      <w:szCs w:val="32"/>
    </w:rPr>
  </w:style>
  <w:style w:type="character" w:styleId="Nagwek2Znak">
    <w:name w:val="Nagłówek 2 Znak"/>
    <w:basedOn w:val="Domylnaczcionkaakapitu"/>
    <w:qFormat/>
    <w:rPr>
      <w:rFonts w:ascii="Arial" w:hAnsi="Arial" w:eastAsia="Times New Roman" w:cs="Arial"/>
      <w:b/>
      <w:bCs/>
      <w:iCs/>
    </w:rPr>
  </w:style>
  <w:style w:type="character" w:styleId="Nagwek3Znak">
    <w:name w:val="Nagłówek 3 Znak"/>
    <w:basedOn w:val="Domylnaczcionkaakapitu"/>
    <w:qFormat/>
    <w:rPr>
      <w:rFonts w:ascii="Arial" w:hAnsi="Arial" w:eastAsia="Times New Roman" w:cs="Arial"/>
      <w:b/>
      <w:bCs/>
      <w:i/>
      <w:szCs w:val="26"/>
    </w:rPr>
  </w:style>
  <w:style w:type="character" w:styleId="Nagwek4Znak">
    <w:name w:val="Nagłówek 4 Znak"/>
    <w:basedOn w:val="Domylnaczcionkaakapitu"/>
    <w:qFormat/>
    <w:rPr>
      <w:rFonts w:ascii="Arial" w:hAnsi="Arial" w:eastAsia="Times New Roman" w:cs="Times New Roman"/>
      <w:bCs/>
      <w:szCs w:val="28"/>
    </w:rPr>
  </w:style>
  <w:style w:type="character" w:styleId="Znakinumeracji">
    <w:name w:val="Znaki numeracji"/>
    <w:qFormat/>
    <w:rPr/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Manga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itle">
    <w:name w:val="Title"/>
    <w:basedOn w:val="Normal"/>
    <w:next w:val="Subtitle"/>
    <w:qFormat/>
    <w:pPr>
      <w:jc w:val="center"/>
    </w:pPr>
    <w:rPr>
      <w:b/>
      <w:sz w:val="40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Subtitle">
    <w:name w:val="Subtitle"/>
    <w:basedOn w:val="Nagwek1"/>
    <w:next w:val="BodyText"/>
    <w:qFormat/>
    <w:pPr>
      <w:jc w:val="center"/>
    </w:pPr>
    <w:rPr>
      <w:i/>
      <w:iCs/>
      <w:sz w:val="28"/>
      <w:szCs w:val="28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Nagwek"/>
    <w:pPr>
      <w:suppressLineNumbers/>
      <w:ind w:hanging="0" w:left="0" w:right="0"/>
    </w:pPr>
    <w:rPr>
      <w:b/>
      <w:bCs/>
      <w:sz w:val="32"/>
      <w:szCs w:val="32"/>
    </w:rPr>
  </w:style>
  <w:style w:type="paragraph" w:styleId="TOAHeading">
    <w:name w:val="TOA Heading"/>
    <w:basedOn w:val="Nagwek"/>
    <w:qFormat/>
    <w:pPr>
      <w:suppressLineNumbers/>
      <w:ind w:hanging="0" w:left="0" w:right="0"/>
    </w:pPr>
    <w:rPr>
      <w:b/>
      <w:bCs/>
      <w:sz w:val="32"/>
      <w:szCs w:val="32"/>
    </w:rPr>
  </w:style>
  <w:style w:type="paragraph" w:styleId="TOC1">
    <w:name w:val="TOC 1"/>
    <w:basedOn w:val="Indeks"/>
    <w:pPr>
      <w:tabs>
        <w:tab w:val="clear" w:pos="720"/>
        <w:tab w:val="right" w:pos="9355" w:leader="dot"/>
      </w:tabs>
      <w:ind w:hanging="0" w:left="0" w:right="0"/>
    </w:pPr>
    <w:rPr/>
  </w:style>
  <w:style w:type="paragraph" w:styleId="TOC2">
    <w:name w:val="TOC 2"/>
    <w:basedOn w:val="Indeks"/>
    <w:pPr>
      <w:tabs>
        <w:tab w:val="clear" w:pos="720"/>
        <w:tab w:val="right" w:pos="9072" w:leader="dot"/>
      </w:tabs>
      <w:ind w:hanging="0" w:left="283" w:right="0"/>
    </w:pPr>
    <w:rPr/>
  </w:style>
  <w:style w:type="paragraph" w:styleId="TOC3">
    <w:name w:val="TOC 3"/>
    <w:basedOn w:val="Indeks"/>
    <w:pPr>
      <w:tabs>
        <w:tab w:val="clear" w:pos="720"/>
        <w:tab w:val="right" w:pos="8789" w:leader="dot"/>
      </w:tabs>
      <w:ind w:hanging="0" w:left="566" w:right="0"/>
    </w:pPr>
    <w:rPr/>
  </w:style>
  <w:style w:type="paragraph" w:styleId="TOC4">
    <w:name w:val="TOC 4"/>
    <w:basedOn w:val="Indeks"/>
    <w:pPr>
      <w:tabs>
        <w:tab w:val="clear" w:pos="720"/>
        <w:tab w:val="right" w:pos="8789" w:leader="dot"/>
      </w:tabs>
      <w:ind w:hanging="0" w:left="849" w:right="0"/>
    </w:pPr>
    <w:rPr/>
  </w:style>
  <w:style w:type="paragraph" w:styleId="TOC5">
    <w:name w:val="TOC 5"/>
    <w:basedOn w:val="Indeks"/>
    <w:pPr>
      <w:tabs>
        <w:tab w:val="clear" w:pos="720"/>
        <w:tab w:val="right" w:pos="8506" w:leader="dot"/>
      </w:tabs>
      <w:ind w:hanging="0" w:left="1132" w:right="0"/>
    </w:pPr>
    <w:rPr/>
  </w:style>
  <w:style w:type="paragraph" w:styleId="TOC6">
    <w:name w:val="TOC 6"/>
    <w:basedOn w:val="Indeks"/>
    <w:pPr>
      <w:tabs>
        <w:tab w:val="clear" w:pos="720"/>
        <w:tab w:val="right" w:pos="8223" w:leader="dot"/>
      </w:tabs>
      <w:ind w:hanging="0" w:left="1415" w:right="0"/>
    </w:pPr>
    <w:rPr/>
  </w:style>
  <w:style w:type="paragraph" w:styleId="TOC7">
    <w:name w:val="TOC 7"/>
    <w:basedOn w:val="Indeks"/>
    <w:pPr>
      <w:tabs>
        <w:tab w:val="clear" w:pos="720"/>
        <w:tab w:val="right" w:pos="7940" w:leader="dot"/>
      </w:tabs>
      <w:ind w:hanging="0" w:left="1698" w:right="0"/>
    </w:pPr>
    <w:rPr/>
  </w:style>
  <w:style w:type="paragraph" w:styleId="TOC8">
    <w:name w:val="TOC 8"/>
    <w:basedOn w:val="Indeks"/>
    <w:pPr>
      <w:tabs>
        <w:tab w:val="clear" w:pos="720"/>
        <w:tab w:val="right" w:pos="7657" w:leader="dot"/>
      </w:tabs>
      <w:ind w:hanging="0" w:left="1981" w:right="0"/>
    </w:pPr>
    <w:rPr/>
  </w:style>
  <w:style w:type="paragraph" w:styleId="TOC9">
    <w:name w:val="TOC 9"/>
    <w:basedOn w:val="Indeks"/>
    <w:pPr>
      <w:tabs>
        <w:tab w:val="clear" w:pos="720"/>
        <w:tab w:val="right" w:pos="7374" w:leader="dot"/>
      </w:tabs>
      <w:ind w:hanging="0" w:left="2264" w:right="0"/>
    </w:pPr>
    <w:rPr/>
  </w:style>
  <w:style w:type="paragraph" w:styleId="Spistreci10">
    <w:name w:val="Spis treści 10"/>
    <w:basedOn w:val="Indeks"/>
    <w:qFormat/>
    <w:pPr>
      <w:tabs>
        <w:tab w:val="clear" w:pos="720"/>
        <w:tab w:val="right" w:pos="7091" w:leader="dot"/>
      </w:tabs>
      <w:ind w:hanging="0" w:left="2547" w:right="0"/>
    </w:pPr>
    <w:rPr/>
  </w:style>
  <w:style w:type="paragraph" w:styleId="Tekstpodstawowy21">
    <w:name w:val="Tekst podstawowy 21"/>
    <w:basedOn w:val="Normal"/>
    <w:qFormat/>
    <w:pPr>
      <w:widowControl/>
      <w:jc w:val="left"/>
    </w:pPr>
    <w:rPr>
      <w:rFonts w:ascii="Times New Roman" w:hAnsi="Times New Roman" w:eastAsia="Times New Roman" w:cs="Times New Roman"/>
      <w:sz w:val="28"/>
      <w:lang w:val="pl-PL"/>
    </w:rPr>
  </w:style>
  <w:style w:type="paragraph" w:styleId="Nagwek10">
    <w:name w:val="Nagłówek 10"/>
    <w:basedOn w:val="Nagwek"/>
    <w:next w:val="BodyText"/>
    <w:qFormat/>
    <w:pPr>
      <w:numPr>
        <w:ilvl w:val="0"/>
        <w:numId w:val="2"/>
      </w:numPr>
      <w:spacing w:before="60" w:after="60"/>
      <w:ind w:hanging="0" w:left="0" w:right="0"/>
    </w:pPr>
    <w:rPr>
      <w:b/>
      <w:bCs/>
      <w:sz w:val="21"/>
      <w:szCs w:val="21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3401</TotalTime>
  <Application>LibreOffice/7.6.6.3$Windows_X86_64 LibreOffice_project/d97b2716a9a4a2ce1391dee1765565ea469b0ae7</Application>
  <AppVersion>15.0000</AppVersion>
  <Pages>6</Pages>
  <Words>2539</Words>
  <Characters>16062</Characters>
  <CharactersWithSpaces>18511</CharactersWithSpaces>
  <Paragraphs>168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2011-11-03T12:15:00Z</dcterms:created>
  <dc:creator>Elżbieta Bester</dc:creator>
  <dc:description/>
  <dc:language>pl-PL</dc:language>
  <cp:lastModifiedBy/>
  <dcterms:modified xsi:type="dcterms:W3CDTF">2025-06-09T12:32:52Z</dcterms:modified>
  <cp:revision>213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